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3CEA3" w14:textId="77777777" w:rsidR="00F6378C" w:rsidRDefault="00F6378C" w:rsidP="00162B2B">
      <w:pPr>
        <w:spacing w:after="80"/>
        <w:jc w:val="center"/>
        <w:rPr>
          <w:rFonts w:ascii="Source Sans Pro" w:hAnsi="Source Sans Pro" w:cs="Calibri"/>
          <w:b/>
          <w:bCs/>
          <w:color w:val="264A64"/>
          <w:sz w:val="32"/>
          <w:szCs w:val="32"/>
        </w:rPr>
      </w:pPr>
      <w:r w:rsidRPr="00E379D8">
        <w:rPr>
          <w:rFonts w:ascii="Source Sans Pro" w:hAnsi="Source Sans Pro"/>
          <w:bCs/>
          <w:noProof/>
          <w:color w:val="0F4761"/>
          <w:sz w:val="18"/>
        </w:rPr>
        <w:drawing>
          <wp:anchor distT="0" distB="0" distL="114300" distR="114300" simplePos="0" relativeHeight="251659264" behindDoc="1" locked="0" layoutInCell="1" allowOverlap="1" wp14:anchorId="3A351ADC" wp14:editId="6525DACE">
            <wp:simplePos x="0" y="0"/>
            <wp:positionH relativeFrom="column">
              <wp:posOffset>-17145</wp:posOffset>
            </wp:positionH>
            <wp:positionV relativeFrom="paragraph">
              <wp:posOffset>6160</wp:posOffset>
            </wp:positionV>
            <wp:extent cx="2185059" cy="703039"/>
            <wp:effectExtent l="0" t="0" r="0" b="0"/>
            <wp:wrapNone/>
            <wp:docPr id="360376286" name="Picture 3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376286" name="Picture 3" descr="A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59" cy="703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02A">
        <w:rPr>
          <w:rFonts w:ascii="Source Sans Pro" w:hAnsi="Source Sans Pro" w:cs="Calibri"/>
          <w:b/>
          <w:bCs/>
          <w:color w:val="264A64"/>
          <w:sz w:val="32"/>
          <w:szCs w:val="32"/>
        </w:rPr>
        <w:t>CSBG Performance Management Website</w:t>
      </w:r>
    </w:p>
    <w:p w14:paraId="49510E6C" w14:textId="1B12A154" w:rsidR="002E5A03" w:rsidRPr="008A422E" w:rsidRDefault="00926F33" w:rsidP="00F6378C">
      <w:pPr>
        <w:spacing w:after="200"/>
        <w:jc w:val="center"/>
        <w:rPr>
          <w:rFonts w:ascii="Source Sans Pro" w:hAnsi="Source Sans Pro" w:cs="Calibri"/>
          <w:b/>
          <w:bCs/>
          <w:color w:val="264A64"/>
          <w:sz w:val="32"/>
          <w:szCs w:val="32"/>
        </w:rPr>
      </w:pPr>
      <w:r w:rsidRPr="008A422E">
        <w:rPr>
          <w:rFonts w:ascii="Source Sans Pro" w:hAnsi="Source Sans Pro" w:cs="Calibri"/>
          <w:b/>
          <w:bCs/>
          <w:color w:val="264A64"/>
          <w:sz w:val="32"/>
          <w:szCs w:val="32"/>
        </w:rPr>
        <w:t>Talking Points Matrix Template</w:t>
      </w:r>
    </w:p>
    <w:p w14:paraId="52DCAC2E" w14:textId="44D05739" w:rsidR="00F138BE" w:rsidRPr="00AB18FC" w:rsidRDefault="002804D9" w:rsidP="005A092D">
      <w:pPr>
        <w:spacing w:after="200"/>
        <w:rPr>
          <w:rFonts w:ascii="Calibri" w:hAnsi="Calibri" w:cs="Calibri"/>
          <w:sz w:val="28"/>
          <w:szCs w:val="28"/>
        </w:rPr>
      </w:pPr>
      <w:r w:rsidRPr="0069013F">
        <w:rPr>
          <w:rFonts w:ascii="Calibri" w:hAnsi="Calibri" w:cs="Calibri"/>
          <w:sz w:val="28"/>
          <w:szCs w:val="28"/>
        </w:rPr>
        <w:t>Use the following Talking Points Matrix as a guide to determine what information you want to communicate (your Talking Points)</w:t>
      </w:r>
      <w:r w:rsidR="00366403">
        <w:rPr>
          <w:rFonts w:ascii="Calibri" w:hAnsi="Calibri" w:cs="Calibri"/>
          <w:sz w:val="28"/>
          <w:szCs w:val="28"/>
        </w:rPr>
        <w:t xml:space="preserve"> to your stakeholders</w:t>
      </w:r>
      <w:r w:rsidRPr="0069013F">
        <w:rPr>
          <w:rFonts w:ascii="Calibri" w:hAnsi="Calibri" w:cs="Calibri"/>
          <w:sz w:val="28"/>
          <w:szCs w:val="28"/>
        </w:rPr>
        <w:t>, how yo</w:t>
      </w:r>
      <w:r w:rsidR="00366403">
        <w:rPr>
          <w:rFonts w:ascii="Calibri" w:hAnsi="Calibri" w:cs="Calibri"/>
          <w:sz w:val="28"/>
          <w:szCs w:val="28"/>
        </w:rPr>
        <w:t>u currently communicate that information</w:t>
      </w:r>
      <w:r w:rsidRPr="0069013F">
        <w:rPr>
          <w:rFonts w:ascii="Calibri" w:hAnsi="Calibri" w:cs="Calibri"/>
          <w:sz w:val="28"/>
          <w:szCs w:val="28"/>
        </w:rPr>
        <w:t xml:space="preserve">, and how to use the </w:t>
      </w:r>
      <w:r w:rsidR="005C2D2E">
        <w:rPr>
          <w:rFonts w:ascii="Calibri" w:hAnsi="Calibri" w:cs="Calibri"/>
          <w:sz w:val="28"/>
          <w:szCs w:val="28"/>
        </w:rPr>
        <w:t>Data Warehouse</w:t>
      </w:r>
      <w:r w:rsidRPr="0069013F">
        <w:rPr>
          <w:rFonts w:ascii="Calibri" w:hAnsi="Calibri" w:cs="Calibri"/>
          <w:sz w:val="28"/>
          <w:szCs w:val="28"/>
        </w:rPr>
        <w:t xml:space="preserve"> to enhance your communication of your Talking Points.</w:t>
      </w:r>
    </w:p>
    <w:tbl>
      <w:tblPr>
        <w:tblpPr w:leftFromText="180" w:rightFromText="180" w:vertAnchor="page" w:horzAnchor="margin" w:tblpY="3283"/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595"/>
        <w:gridCol w:w="3595"/>
        <w:gridCol w:w="3595"/>
        <w:gridCol w:w="3595"/>
      </w:tblGrid>
      <w:tr w:rsidR="00683624" w:rsidRPr="0092748E" w14:paraId="54D41C03" w14:textId="77777777" w:rsidTr="006746D5">
        <w:trPr>
          <w:trHeight w:val="806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476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1D7EF7" w14:textId="77777777" w:rsidR="00683624" w:rsidRPr="0092748E" w:rsidRDefault="00683624" w:rsidP="00683624">
            <w:pPr>
              <w:spacing w:after="0"/>
              <w:jc w:val="center"/>
              <w:rPr>
                <w:rFonts w:ascii="Source Sans Pro" w:hAnsi="Source Sans Pro" w:cs="Calibri"/>
                <w:color w:val="FFFFFF" w:themeColor="background1"/>
                <w:sz w:val="28"/>
                <w:szCs w:val="28"/>
              </w:rPr>
            </w:pPr>
            <w:r w:rsidRPr="0092748E">
              <w:rPr>
                <w:rFonts w:ascii="Source Sans Pro" w:hAnsi="Source Sans Pro" w:cs="Calibri"/>
                <w:b/>
                <w:bCs/>
                <w:color w:val="FFFFFF" w:themeColor="background1"/>
                <w:sz w:val="28"/>
                <w:szCs w:val="28"/>
              </w:rPr>
              <w:t>Talking Points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476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7029EA" w14:textId="77777777" w:rsidR="00683624" w:rsidRPr="0092748E" w:rsidRDefault="00683624" w:rsidP="00683624">
            <w:pPr>
              <w:spacing w:after="0"/>
              <w:jc w:val="center"/>
              <w:rPr>
                <w:rFonts w:ascii="Source Sans Pro" w:hAnsi="Source Sans Pro" w:cs="Calibri"/>
                <w:color w:val="FFFFFF" w:themeColor="background1"/>
                <w:sz w:val="28"/>
                <w:szCs w:val="28"/>
              </w:rPr>
            </w:pPr>
            <w:r w:rsidRPr="0092748E">
              <w:rPr>
                <w:rFonts w:ascii="Source Sans Pro" w:hAnsi="Source Sans Pro" w:cs="Calibri"/>
                <w:b/>
                <w:bCs/>
                <w:color w:val="FFFFFF" w:themeColor="background1"/>
                <w:sz w:val="28"/>
                <w:szCs w:val="28"/>
              </w:rPr>
              <w:t>Use of Annual Report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4761"/>
            <w:vAlign w:val="center"/>
          </w:tcPr>
          <w:p w14:paraId="2E56EE75" w14:textId="2F88CDE7" w:rsidR="00683624" w:rsidRDefault="00683624" w:rsidP="00683624">
            <w:pPr>
              <w:spacing w:after="0"/>
              <w:jc w:val="center"/>
              <w:rPr>
                <w:rFonts w:ascii="Source Sans Pro" w:hAnsi="Source Sans Pro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92748E">
              <w:rPr>
                <w:rFonts w:ascii="Source Sans Pro" w:hAnsi="Source Sans Pro" w:cs="Calibri"/>
                <w:b/>
                <w:bCs/>
                <w:color w:val="FFFFFF" w:themeColor="background1"/>
                <w:sz w:val="28"/>
                <w:szCs w:val="28"/>
              </w:rPr>
              <w:t>Data Sources Used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4761"/>
            <w:vAlign w:val="center"/>
          </w:tcPr>
          <w:p w14:paraId="1D04C5BC" w14:textId="59124E69" w:rsidR="00683624" w:rsidRDefault="00683624" w:rsidP="00683624">
            <w:pPr>
              <w:spacing w:after="0"/>
              <w:jc w:val="center"/>
              <w:rPr>
                <w:rFonts w:ascii="Source Sans Pro" w:hAnsi="Source Sans Pro" w:cs="Calibr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Source Sans Pro" w:hAnsi="Source Sans Pro" w:cs="Calibri"/>
                <w:b/>
                <w:bCs/>
                <w:color w:val="FFFFFF" w:themeColor="background1"/>
                <w:sz w:val="28"/>
                <w:szCs w:val="28"/>
              </w:rPr>
              <w:t>Using the</w:t>
            </w:r>
          </w:p>
          <w:p w14:paraId="5B227AF6" w14:textId="77777777" w:rsidR="00683624" w:rsidRPr="0092748E" w:rsidRDefault="00683624" w:rsidP="00683624">
            <w:pPr>
              <w:spacing w:after="0"/>
              <w:jc w:val="center"/>
              <w:rPr>
                <w:rFonts w:ascii="Source Sans Pro" w:hAnsi="Source Sans Pro" w:cs="Calibr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Source Sans Pro" w:hAnsi="Source Sans Pro" w:cs="Calibri"/>
                <w:b/>
                <w:bCs/>
                <w:color w:val="FFFFFF" w:themeColor="background1"/>
                <w:sz w:val="28"/>
                <w:szCs w:val="28"/>
              </w:rPr>
              <w:t>Data Warehouse</w:t>
            </w:r>
          </w:p>
        </w:tc>
      </w:tr>
      <w:tr w:rsidR="00683624" w:rsidRPr="0092748E" w14:paraId="4FB517AA" w14:textId="77777777" w:rsidTr="00683624">
        <w:trPr>
          <w:trHeight w:val="1459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438776" w14:textId="77777777" w:rsidR="00683624" w:rsidRPr="00A5623D" w:rsidRDefault="00683624" w:rsidP="00683624">
            <w:pPr>
              <w:spacing w:after="0"/>
              <w:rPr>
                <w:rFonts w:ascii="Calibri" w:hAnsi="Calibri" w:cs="Calibri"/>
                <w:sz w:val="28"/>
                <w:szCs w:val="28"/>
              </w:rPr>
            </w:pPr>
            <w:r w:rsidRPr="00A5623D">
              <w:rPr>
                <w:rFonts w:ascii="Calibri" w:hAnsi="Calibri" w:cs="Calibri"/>
                <w:sz w:val="28"/>
                <w:szCs w:val="28"/>
              </w:rPr>
              <w:t>What questions do your stakeholders ask?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A5623D">
              <w:rPr>
                <w:rFonts w:ascii="Calibri" w:hAnsi="Calibri" w:cs="Calibri"/>
                <w:sz w:val="28"/>
                <w:szCs w:val="28"/>
              </w:rPr>
              <w:t>What do you say about CSBG to your stakeholders?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047487" w14:textId="77777777" w:rsidR="00683624" w:rsidRPr="00A5623D" w:rsidRDefault="00683624" w:rsidP="00683624">
            <w:pPr>
              <w:spacing w:after="0"/>
              <w:rPr>
                <w:rFonts w:ascii="Calibri" w:hAnsi="Calibri" w:cs="Calibri"/>
                <w:sz w:val="28"/>
                <w:szCs w:val="28"/>
              </w:rPr>
            </w:pPr>
            <w:r w:rsidRPr="00A5623D">
              <w:rPr>
                <w:rFonts w:ascii="Calibri" w:hAnsi="Calibri" w:cs="Calibri"/>
                <w:sz w:val="28"/>
                <w:szCs w:val="28"/>
              </w:rPr>
              <w:t>What data points from the CSBG Annual Report do you use to illustrate your CSBG Talking Points?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48821" w14:textId="2E4FDA5B" w:rsidR="00683624" w:rsidRDefault="00683624" w:rsidP="00683624">
            <w:pPr>
              <w:spacing w:after="0"/>
              <w:ind w:left="78"/>
              <w:rPr>
                <w:rFonts w:ascii="Calibri" w:hAnsi="Calibri" w:cs="Calibri"/>
                <w:sz w:val="28"/>
                <w:szCs w:val="28"/>
              </w:rPr>
            </w:pPr>
            <w:r w:rsidRPr="00A5623D">
              <w:rPr>
                <w:rFonts w:ascii="Calibri" w:hAnsi="Calibri" w:cs="Calibri"/>
                <w:sz w:val="28"/>
                <w:szCs w:val="28"/>
              </w:rPr>
              <w:t>What data sources are you currently using to illustrate your CSBG Talking Points?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36863" w14:textId="5806CFF3" w:rsidR="00683624" w:rsidRDefault="00683624" w:rsidP="00683624">
            <w:pPr>
              <w:spacing w:after="0"/>
              <w:ind w:left="78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What data in the Data Warehouse can you use to illustrate your CSBG Talking </w:t>
            </w:r>
          </w:p>
          <w:p w14:paraId="69F74F96" w14:textId="76C63886" w:rsidR="00683624" w:rsidRPr="00A5623D" w:rsidRDefault="00683624" w:rsidP="00683624">
            <w:pPr>
              <w:spacing w:after="0"/>
              <w:ind w:left="78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Points?</w:t>
            </w:r>
          </w:p>
        </w:tc>
      </w:tr>
      <w:tr w:rsidR="00683624" w:rsidRPr="0092748E" w14:paraId="1325D031" w14:textId="77777777" w:rsidTr="00683624">
        <w:trPr>
          <w:trHeight w:val="4915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6A12B7" w14:textId="77777777" w:rsidR="00683624" w:rsidRPr="00A5623D" w:rsidRDefault="00683624" w:rsidP="00683624">
            <w:pPr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32882C" w14:textId="77777777" w:rsidR="00683624" w:rsidRPr="00A5623D" w:rsidRDefault="00683624" w:rsidP="00683624">
            <w:pPr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91E9B" w14:textId="77777777" w:rsidR="00683624" w:rsidRDefault="00683624" w:rsidP="00683624">
            <w:pPr>
              <w:spacing w:after="0"/>
              <w:ind w:left="78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ED388" w14:textId="63C70E36" w:rsidR="00683624" w:rsidRDefault="00683624" w:rsidP="00683624">
            <w:pPr>
              <w:spacing w:after="0"/>
              <w:ind w:left="78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5D8ADB51" w14:textId="77777777" w:rsidR="005A092D" w:rsidRPr="0069013F" w:rsidRDefault="005A092D" w:rsidP="0009046D">
      <w:pPr>
        <w:spacing w:after="0"/>
        <w:rPr>
          <w:rFonts w:ascii="Calibri" w:hAnsi="Calibri" w:cs="Calibri"/>
          <w:sz w:val="28"/>
          <w:szCs w:val="28"/>
        </w:rPr>
      </w:pPr>
    </w:p>
    <w:sectPr w:rsidR="005A092D" w:rsidRPr="0069013F" w:rsidSect="0009046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D0AE1" w14:textId="77777777" w:rsidR="00926F33" w:rsidRDefault="00926F33" w:rsidP="00926F33">
      <w:pPr>
        <w:spacing w:after="0" w:line="240" w:lineRule="auto"/>
      </w:pPr>
      <w:r>
        <w:separator/>
      </w:r>
    </w:p>
  </w:endnote>
  <w:endnote w:type="continuationSeparator" w:id="0">
    <w:p w14:paraId="3BE8663D" w14:textId="77777777" w:rsidR="00926F33" w:rsidRDefault="00926F33" w:rsidP="00926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CF1D7" w14:textId="77777777" w:rsidR="00926F33" w:rsidRDefault="00926F33" w:rsidP="00926F33">
      <w:pPr>
        <w:spacing w:after="0" w:line="240" w:lineRule="auto"/>
      </w:pPr>
      <w:r>
        <w:separator/>
      </w:r>
    </w:p>
  </w:footnote>
  <w:footnote w:type="continuationSeparator" w:id="0">
    <w:p w14:paraId="16B4375C" w14:textId="77777777" w:rsidR="00926F33" w:rsidRDefault="00926F33" w:rsidP="00926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1413"/>
    <w:multiLevelType w:val="hybridMultilevel"/>
    <w:tmpl w:val="C00406BA"/>
    <w:lvl w:ilvl="0" w:tplc="49804B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44A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50F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E48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405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AC7A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E2F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8C5A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A2C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1F54966"/>
    <w:multiLevelType w:val="hybridMultilevel"/>
    <w:tmpl w:val="025A9F78"/>
    <w:lvl w:ilvl="0" w:tplc="50F07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9E3A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0A4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2C3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FE2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0A1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D86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EF8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AC8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1667DE1"/>
    <w:multiLevelType w:val="hybridMultilevel"/>
    <w:tmpl w:val="0FBCDBAA"/>
    <w:lvl w:ilvl="0" w:tplc="80FE0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CE3E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E8A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7A6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4A4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CA45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D22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BADA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F615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D8E37C2"/>
    <w:multiLevelType w:val="hybridMultilevel"/>
    <w:tmpl w:val="ABC40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E8048F"/>
    <w:multiLevelType w:val="hybridMultilevel"/>
    <w:tmpl w:val="1302B6B0"/>
    <w:lvl w:ilvl="0" w:tplc="11D81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A050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522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ECE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9A7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82FB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748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5A4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882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71066121">
    <w:abstractNumId w:val="4"/>
  </w:num>
  <w:num w:numId="2" w16cid:durableId="1852791028">
    <w:abstractNumId w:val="2"/>
  </w:num>
  <w:num w:numId="3" w16cid:durableId="2125465810">
    <w:abstractNumId w:val="1"/>
  </w:num>
  <w:num w:numId="4" w16cid:durableId="1038579934">
    <w:abstractNumId w:val="0"/>
  </w:num>
  <w:num w:numId="5" w16cid:durableId="318581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48E"/>
    <w:rsid w:val="000115E2"/>
    <w:rsid w:val="00027DE5"/>
    <w:rsid w:val="0009043B"/>
    <w:rsid w:val="0009046D"/>
    <w:rsid w:val="00162B2B"/>
    <w:rsid w:val="0026401D"/>
    <w:rsid w:val="002804D9"/>
    <w:rsid w:val="002E5A03"/>
    <w:rsid w:val="003210E0"/>
    <w:rsid w:val="00366403"/>
    <w:rsid w:val="00424BF8"/>
    <w:rsid w:val="00461A28"/>
    <w:rsid w:val="005213C3"/>
    <w:rsid w:val="00554872"/>
    <w:rsid w:val="005A092D"/>
    <w:rsid w:val="005C2D2E"/>
    <w:rsid w:val="0060702A"/>
    <w:rsid w:val="00683624"/>
    <w:rsid w:val="0069013F"/>
    <w:rsid w:val="00724828"/>
    <w:rsid w:val="00765147"/>
    <w:rsid w:val="008A422E"/>
    <w:rsid w:val="00926F33"/>
    <w:rsid w:val="0092748E"/>
    <w:rsid w:val="00A5623D"/>
    <w:rsid w:val="00AB18FC"/>
    <w:rsid w:val="00CC197B"/>
    <w:rsid w:val="00CC20CD"/>
    <w:rsid w:val="00CD03CE"/>
    <w:rsid w:val="00D426A7"/>
    <w:rsid w:val="00DA4897"/>
    <w:rsid w:val="00EE6A45"/>
    <w:rsid w:val="00F138BE"/>
    <w:rsid w:val="00F6378C"/>
    <w:rsid w:val="00F7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2AAAC"/>
  <w15:chartTrackingRefBased/>
  <w15:docId w15:val="{3ADCAC6A-B851-4304-BCE6-C7C7FF1A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6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F33"/>
  </w:style>
  <w:style w:type="paragraph" w:styleId="Footer">
    <w:name w:val="footer"/>
    <w:basedOn w:val="Normal"/>
    <w:link w:val="FooterChar"/>
    <w:uiPriority w:val="99"/>
    <w:unhideWhenUsed/>
    <w:rsid w:val="00926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7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455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00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669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116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21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441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654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Anisha Sahni</dc:creator>
  <cp:keywords/>
  <dc:description/>
  <cp:lastModifiedBy>Anisha Sahni</cp:lastModifiedBy>
  <cp:revision>36</cp:revision>
  <cp:lastPrinted>2025-01-14T19:11:00Z</cp:lastPrinted>
  <dcterms:created xsi:type="dcterms:W3CDTF">2025-01-14T18:48:00Z</dcterms:created>
  <dcterms:modified xsi:type="dcterms:W3CDTF">2025-01-16T17:39:00Z</dcterms:modified>
</cp:coreProperties>
</file>